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134C" w14:textId="77777777" w:rsidR="00135EAD" w:rsidRPr="00135EAD" w:rsidRDefault="00135EAD" w:rsidP="00135EAD">
      <w:pPr>
        <w:pStyle w:val="Style7"/>
        <w:shd w:val="clear" w:color="auto" w:fill="auto"/>
        <w:spacing w:before="0" w:line="360" w:lineRule="auto"/>
        <w:rPr>
          <w:rStyle w:val="CharStyle8"/>
          <w:rFonts w:ascii="Times New Roman" w:hAnsi="Times New Roman" w:cs="Times New Roman"/>
          <w:color w:val="000000"/>
          <w:sz w:val="32"/>
          <w:szCs w:val="32"/>
        </w:rPr>
      </w:pPr>
      <w:r w:rsidRPr="00135EAD">
        <w:rPr>
          <w:rStyle w:val="CharStyle8"/>
          <w:rFonts w:ascii="Times New Roman" w:hAnsi="Times New Roman" w:cs="Times New Roman"/>
          <w:color w:val="000000"/>
          <w:sz w:val="32"/>
          <w:szCs w:val="32"/>
        </w:rPr>
        <w:t>REKLAMAČNÍ ŘÁD</w:t>
      </w:r>
    </w:p>
    <w:p w14:paraId="5A004BA2" w14:textId="77777777" w:rsidR="00135EAD" w:rsidRPr="00653770" w:rsidRDefault="00135EAD" w:rsidP="00135EAD">
      <w:pPr>
        <w:pStyle w:val="Style7"/>
        <w:shd w:val="clear" w:color="auto" w:fill="auto"/>
        <w:spacing w:before="0" w:line="240" w:lineRule="auto"/>
        <w:rPr>
          <w:rFonts w:ascii="Times New Roman" w:hAnsi="Times New Roman"/>
          <w:b w:val="0"/>
          <w:sz w:val="16"/>
          <w:szCs w:val="16"/>
        </w:rPr>
      </w:pPr>
      <w:r w:rsidRPr="00653770">
        <w:rPr>
          <w:rStyle w:val="CharStyle8"/>
          <w:rFonts w:ascii="Times New Roman" w:hAnsi="Times New Roman" w:cs="Times New Roman"/>
          <w:b/>
          <w:color w:val="000000"/>
          <w:sz w:val="16"/>
          <w:szCs w:val="16"/>
        </w:rPr>
        <w:t>1. Předmět</w:t>
      </w:r>
    </w:p>
    <w:p w14:paraId="58627DF6" w14:textId="77777777" w:rsidR="00135EAD" w:rsidRPr="00653770" w:rsidRDefault="00135EAD" w:rsidP="0080585F">
      <w:pPr>
        <w:ind w:left="142"/>
        <w:jc w:val="both"/>
        <w:rPr>
          <w:b/>
          <w:snapToGrid w:val="0"/>
          <w:color w:val="auto"/>
          <w:sz w:val="18"/>
          <w:szCs w:val="18"/>
        </w:rPr>
      </w:pPr>
      <w:r w:rsidRPr="00653770">
        <w:rPr>
          <w:b/>
          <w:snapToGrid w:val="0"/>
          <w:color w:val="auto"/>
          <w:sz w:val="18"/>
          <w:szCs w:val="18"/>
        </w:rPr>
        <w:t xml:space="preserve">Reklamační řád </w:t>
      </w:r>
      <w:r w:rsidR="00641A9A">
        <w:rPr>
          <w:b/>
          <w:snapToGrid w:val="0"/>
          <w:color w:val="auto"/>
          <w:sz w:val="18"/>
          <w:szCs w:val="18"/>
        </w:rPr>
        <w:t xml:space="preserve">(samostatně nebo jako součást </w:t>
      </w:r>
      <w:r w:rsidRPr="00653770">
        <w:rPr>
          <w:b/>
          <w:snapToGrid w:val="0"/>
          <w:color w:val="auto"/>
          <w:sz w:val="18"/>
          <w:szCs w:val="18"/>
        </w:rPr>
        <w:t>Všeobecný</w:t>
      </w:r>
      <w:r w:rsidR="0080585F" w:rsidRPr="00653770">
        <w:rPr>
          <w:b/>
          <w:snapToGrid w:val="0"/>
          <w:color w:val="auto"/>
          <w:sz w:val="18"/>
          <w:szCs w:val="18"/>
        </w:rPr>
        <w:t>ch</w:t>
      </w:r>
      <w:r w:rsidRPr="00653770">
        <w:rPr>
          <w:b/>
          <w:snapToGrid w:val="0"/>
          <w:color w:val="auto"/>
          <w:sz w:val="18"/>
          <w:szCs w:val="18"/>
        </w:rPr>
        <w:t xml:space="preserve"> obchodní</w:t>
      </w:r>
      <w:r w:rsidR="0080585F" w:rsidRPr="00653770">
        <w:rPr>
          <w:b/>
          <w:snapToGrid w:val="0"/>
          <w:color w:val="auto"/>
          <w:sz w:val="18"/>
          <w:szCs w:val="18"/>
        </w:rPr>
        <w:t>ch</w:t>
      </w:r>
      <w:r w:rsidRPr="00653770">
        <w:rPr>
          <w:b/>
          <w:snapToGrid w:val="0"/>
          <w:color w:val="auto"/>
          <w:sz w:val="18"/>
          <w:szCs w:val="18"/>
        </w:rPr>
        <w:t xml:space="preserve"> podmín</w:t>
      </w:r>
      <w:r w:rsidR="0080585F" w:rsidRPr="00653770">
        <w:rPr>
          <w:b/>
          <w:snapToGrid w:val="0"/>
          <w:color w:val="auto"/>
          <w:sz w:val="18"/>
          <w:szCs w:val="18"/>
        </w:rPr>
        <w:t>e</w:t>
      </w:r>
      <w:r w:rsidRPr="00653770">
        <w:rPr>
          <w:b/>
          <w:snapToGrid w:val="0"/>
          <w:color w:val="auto"/>
          <w:sz w:val="18"/>
          <w:szCs w:val="18"/>
        </w:rPr>
        <w:t>k</w:t>
      </w:r>
      <w:r w:rsidR="0080585F" w:rsidRPr="00653770">
        <w:rPr>
          <w:b/>
          <w:snapToGrid w:val="0"/>
          <w:color w:val="auto"/>
          <w:sz w:val="18"/>
          <w:szCs w:val="18"/>
        </w:rPr>
        <w:t xml:space="preserve"> cestovní kanceláře APOLLON s.r.o.)</w:t>
      </w:r>
      <w:r w:rsidRPr="00653770">
        <w:rPr>
          <w:b/>
          <w:snapToGrid w:val="0"/>
          <w:color w:val="auto"/>
          <w:sz w:val="18"/>
          <w:szCs w:val="18"/>
        </w:rPr>
        <w:t xml:space="preserve"> j</w:t>
      </w:r>
      <w:r w:rsidR="0080585F" w:rsidRPr="00653770">
        <w:rPr>
          <w:b/>
          <w:snapToGrid w:val="0"/>
          <w:color w:val="auto"/>
          <w:sz w:val="18"/>
          <w:szCs w:val="18"/>
        </w:rPr>
        <w:t>e</w:t>
      </w:r>
      <w:r w:rsidRPr="00653770">
        <w:rPr>
          <w:b/>
          <w:snapToGrid w:val="0"/>
          <w:color w:val="auto"/>
          <w:sz w:val="18"/>
          <w:szCs w:val="18"/>
        </w:rPr>
        <w:t xml:space="preserve"> nedílnou součástí potvrzení </w:t>
      </w:r>
      <w:r w:rsidR="0080585F" w:rsidRPr="00653770">
        <w:rPr>
          <w:b/>
          <w:snapToGrid w:val="0"/>
          <w:color w:val="auto"/>
          <w:sz w:val="18"/>
          <w:szCs w:val="18"/>
        </w:rPr>
        <w:t xml:space="preserve"> o </w:t>
      </w:r>
      <w:r w:rsidRPr="00653770">
        <w:rPr>
          <w:b/>
          <w:snapToGrid w:val="0"/>
          <w:color w:val="auto"/>
          <w:sz w:val="18"/>
          <w:szCs w:val="18"/>
        </w:rPr>
        <w:t xml:space="preserve">zájezdu/smlouvy o zájezdu (dále jen „SZ“), upravuje způsob uplatňování nároků zákazníka vyplývající z odpovědnosti cestovní kanceláře za vady poskytnuté služby cestovního ruchu a jejich vyřizování (dále jen „reklamace“) v souladu se zákonem č. 89/2012 Sb., občanský zákoník </w:t>
      </w:r>
      <w:r w:rsidRPr="00653770">
        <w:rPr>
          <w:b/>
          <w:bCs/>
          <w:color w:val="auto"/>
          <w:sz w:val="18"/>
          <w:szCs w:val="18"/>
        </w:rPr>
        <w:t xml:space="preserve">(dále jen „NOZ“) </w:t>
      </w:r>
      <w:r w:rsidRPr="00653770">
        <w:rPr>
          <w:b/>
          <w:snapToGrid w:val="0"/>
          <w:color w:val="auto"/>
          <w:sz w:val="18"/>
          <w:szCs w:val="18"/>
        </w:rPr>
        <w:t xml:space="preserve">a zákonem č. 159/1999 Sb., </w:t>
      </w:r>
      <w:r w:rsidRPr="00653770">
        <w:rPr>
          <w:b/>
          <w:bCs/>
          <w:color w:val="auto"/>
          <w:sz w:val="18"/>
          <w:szCs w:val="18"/>
        </w:rPr>
        <w:t>o některých podmínkách podnikání v oblasti cestovního ruchu, v platném znění (dále jen „zák. o podnikání v cestovním ruchu“) a zákonem č. 634/1992 Sb., o ochraně spotřebitele v platném znění (dále jen „zák. o ochraně spotřebitele“).</w:t>
      </w:r>
    </w:p>
    <w:p w14:paraId="558726B9" w14:textId="77777777" w:rsidR="00641A9A" w:rsidRPr="00641A9A" w:rsidRDefault="00641A9A" w:rsidP="00135EAD">
      <w:pPr>
        <w:pStyle w:val="Style7"/>
        <w:shd w:val="clear" w:color="auto" w:fill="auto"/>
        <w:tabs>
          <w:tab w:val="left" w:pos="9639"/>
        </w:tabs>
        <w:spacing w:before="0" w:line="276" w:lineRule="auto"/>
        <w:ind w:left="426" w:hanging="426"/>
        <w:rPr>
          <w:rStyle w:val="CharStyle8"/>
          <w:rFonts w:ascii="Times New Roman" w:hAnsi="Times New Roman" w:cs="Times New Roman"/>
          <w:b/>
          <w:sz w:val="10"/>
          <w:szCs w:val="10"/>
        </w:rPr>
      </w:pPr>
    </w:p>
    <w:p w14:paraId="3CE577AD" w14:textId="77777777" w:rsidR="00135EAD" w:rsidRPr="00653770" w:rsidRDefault="00135EAD" w:rsidP="00135EAD">
      <w:pPr>
        <w:pStyle w:val="Style7"/>
        <w:shd w:val="clear" w:color="auto" w:fill="auto"/>
        <w:tabs>
          <w:tab w:val="left" w:pos="9639"/>
        </w:tabs>
        <w:spacing w:before="0" w:line="276" w:lineRule="auto"/>
        <w:ind w:left="426" w:hanging="426"/>
        <w:rPr>
          <w:rFonts w:ascii="Times New Roman" w:hAnsi="Times New Roman"/>
          <w:b w:val="0"/>
          <w:sz w:val="16"/>
          <w:szCs w:val="16"/>
        </w:rPr>
      </w:pPr>
      <w:r w:rsidRPr="00653770">
        <w:rPr>
          <w:rStyle w:val="CharStyle8"/>
          <w:rFonts w:ascii="Times New Roman" w:hAnsi="Times New Roman" w:cs="Times New Roman"/>
          <w:b/>
          <w:sz w:val="16"/>
          <w:szCs w:val="16"/>
        </w:rPr>
        <w:t>2. Vady zájezdu</w:t>
      </w:r>
    </w:p>
    <w:p w14:paraId="4A2CF3F9" w14:textId="77777777" w:rsidR="00135EAD" w:rsidRPr="00653770" w:rsidRDefault="00135EAD" w:rsidP="00135EAD">
      <w:pPr>
        <w:pStyle w:val="Odstavecseseznamem"/>
        <w:numPr>
          <w:ilvl w:val="0"/>
          <w:numId w:val="2"/>
        </w:numPr>
        <w:ind w:left="426" w:hanging="426"/>
        <w:jc w:val="both"/>
        <w:rPr>
          <w:snapToGrid w:val="0"/>
          <w:color w:val="auto"/>
          <w:sz w:val="16"/>
          <w:szCs w:val="16"/>
        </w:rPr>
      </w:pPr>
      <w:r w:rsidRPr="00653770">
        <w:rPr>
          <w:snapToGrid w:val="0"/>
          <w:color w:val="auto"/>
          <w:sz w:val="16"/>
          <w:szCs w:val="16"/>
        </w:rPr>
        <w:t xml:space="preserve">Cestovní kancelář odpovídá zákazníkovi ve smyslu ustanovení § 2537 a násl. NOZ za vady zájezdu. </w:t>
      </w:r>
    </w:p>
    <w:p w14:paraId="39988647" w14:textId="77777777" w:rsidR="00135EAD" w:rsidRPr="00653770" w:rsidRDefault="00135EAD" w:rsidP="00135EAD">
      <w:pPr>
        <w:pStyle w:val="Odstavecseseznamem"/>
        <w:numPr>
          <w:ilvl w:val="0"/>
          <w:numId w:val="2"/>
        </w:numPr>
        <w:ind w:left="426" w:hanging="426"/>
        <w:jc w:val="both"/>
        <w:rPr>
          <w:snapToGrid w:val="0"/>
          <w:color w:val="auto"/>
          <w:sz w:val="16"/>
          <w:szCs w:val="16"/>
        </w:rPr>
      </w:pPr>
      <w:r w:rsidRPr="00653770">
        <w:rPr>
          <w:snapToGrid w:val="0"/>
          <w:color w:val="auto"/>
          <w:sz w:val="16"/>
          <w:szCs w:val="16"/>
        </w:rPr>
        <w:t xml:space="preserve">Má-li zájezd vadu a byla-li tato vytčena zákazníkem v souladu s § 2540 NOZ bez zbytečného odkladu, má zákazník právo na slevu z ceny ve výši přiměřené rozsahu </w:t>
      </w:r>
      <w:r w:rsidR="00641A9A">
        <w:rPr>
          <w:snapToGrid w:val="0"/>
          <w:color w:val="auto"/>
          <w:sz w:val="16"/>
          <w:szCs w:val="16"/>
        </w:rPr>
        <w:t xml:space="preserve">      </w:t>
      </w:r>
      <w:r w:rsidRPr="00653770">
        <w:rPr>
          <w:snapToGrid w:val="0"/>
          <w:color w:val="auto"/>
          <w:sz w:val="16"/>
          <w:szCs w:val="16"/>
        </w:rPr>
        <w:t xml:space="preserve">a trvání vady. Nevytkl-li zákazník vadu bez zbytečného odkladu vlastním zaviněním, a to ani do jednoho měsíce od skončení zájezdu a cestovní kancelář toto namítne, pak mu soud právo na slevu z ceny nepřizná. </w:t>
      </w:r>
    </w:p>
    <w:p w14:paraId="2B641E12" w14:textId="77777777" w:rsidR="00135EAD" w:rsidRPr="00653770" w:rsidRDefault="00135EAD" w:rsidP="00135EAD">
      <w:pPr>
        <w:pStyle w:val="Style7"/>
        <w:shd w:val="clear" w:color="auto" w:fill="auto"/>
        <w:tabs>
          <w:tab w:val="left" w:pos="9639"/>
        </w:tabs>
        <w:spacing w:before="0" w:line="276" w:lineRule="auto"/>
        <w:ind w:left="426" w:hanging="426"/>
        <w:rPr>
          <w:rFonts w:ascii="Times New Roman" w:hAnsi="Times New Roman"/>
          <w:b w:val="0"/>
          <w:sz w:val="16"/>
          <w:szCs w:val="16"/>
        </w:rPr>
      </w:pPr>
      <w:r w:rsidRPr="00653770">
        <w:rPr>
          <w:rStyle w:val="CharStyle8"/>
          <w:rFonts w:ascii="Times New Roman" w:hAnsi="Times New Roman" w:cs="Times New Roman"/>
          <w:b/>
          <w:sz w:val="16"/>
          <w:szCs w:val="16"/>
        </w:rPr>
        <w:t>3. Reklamace</w:t>
      </w:r>
    </w:p>
    <w:p w14:paraId="3AE26EEF" w14:textId="77777777" w:rsidR="00135EAD" w:rsidRPr="00653770" w:rsidRDefault="00135EAD" w:rsidP="00135EAD">
      <w:pPr>
        <w:pStyle w:val="Odstavecseseznamem"/>
        <w:numPr>
          <w:ilvl w:val="0"/>
          <w:numId w:val="1"/>
        </w:numPr>
        <w:ind w:left="426" w:hanging="426"/>
        <w:jc w:val="both"/>
        <w:rPr>
          <w:snapToGrid w:val="0"/>
          <w:color w:val="auto"/>
          <w:sz w:val="16"/>
          <w:szCs w:val="16"/>
        </w:rPr>
      </w:pPr>
      <w:r w:rsidRPr="00653770">
        <w:rPr>
          <w:snapToGrid w:val="0"/>
          <w:color w:val="auto"/>
          <w:sz w:val="16"/>
          <w:szCs w:val="16"/>
        </w:rPr>
        <w:t>Při řešení reklamace je nutná součinnost zákazníka, spočívající zejména v umožnění přístupu do prostor, které mu byly pronajaty k ubytování nebo do dopravního prostředku, kterým byla zajištěna doprava, zástupci pověřenému cestovní kanceláří, jakož i zástupci dodavatelů služeb, které jsou předmětem reklamace, aby bylo možné objektivně posoudit tvrzení uváděné v reklamaci. Cestovní kancelář doporučuje zákazníkovi, aby tuto součinnost poskytl.</w:t>
      </w:r>
    </w:p>
    <w:p w14:paraId="1BC68ADD" w14:textId="77777777" w:rsidR="00641A9A" w:rsidRPr="00641A9A" w:rsidRDefault="00135EAD" w:rsidP="009D115C">
      <w:pPr>
        <w:pStyle w:val="Odstavecseseznamem"/>
        <w:widowControl/>
        <w:numPr>
          <w:ilvl w:val="0"/>
          <w:numId w:val="1"/>
        </w:numPr>
        <w:ind w:left="426" w:right="-51" w:hanging="426"/>
        <w:jc w:val="both"/>
        <w:rPr>
          <w:sz w:val="16"/>
          <w:szCs w:val="16"/>
        </w:rPr>
      </w:pPr>
      <w:r w:rsidRPr="00641A9A">
        <w:rPr>
          <w:sz w:val="16"/>
          <w:szCs w:val="16"/>
        </w:rPr>
        <w:t>Reklamaci může zákazník uplatnit ústně či písemně, popřípadě jiným vhodným způsobem u zástupce cestovní kanceláře během trvání zájezdu, či v cestovní kanceláři</w:t>
      </w:r>
      <w:r w:rsidR="0080585F" w:rsidRPr="00641A9A">
        <w:rPr>
          <w:sz w:val="16"/>
          <w:szCs w:val="16"/>
        </w:rPr>
        <w:t xml:space="preserve"> v Brně na adrese </w:t>
      </w:r>
      <w:r w:rsidR="0088680E" w:rsidRPr="00641A9A">
        <w:rPr>
          <w:sz w:val="16"/>
          <w:szCs w:val="16"/>
        </w:rPr>
        <w:t>APOLLON cestovní kancelář s.r.o., Starobrněnská 3, 602 00 nebo e-mailem:</w:t>
      </w:r>
      <w:r w:rsidR="00641A9A" w:rsidRPr="00641A9A">
        <w:rPr>
          <w:sz w:val="16"/>
          <w:szCs w:val="16"/>
        </w:rPr>
        <w:t xml:space="preserve"> </w:t>
      </w:r>
      <w:r w:rsidR="0088680E" w:rsidRPr="00641A9A">
        <w:rPr>
          <w:sz w:val="16"/>
          <w:szCs w:val="16"/>
        </w:rPr>
        <w:t>alena@ck-apollon.cz.  Reklamaci může zákazník uplatnit také na jakémkoli prodejním místě</w:t>
      </w:r>
      <w:r w:rsidR="00641A9A" w:rsidRPr="00641A9A">
        <w:rPr>
          <w:sz w:val="16"/>
          <w:szCs w:val="16"/>
        </w:rPr>
        <w:t xml:space="preserve"> obchodní sítě CK, kde klient</w:t>
      </w:r>
      <w:r w:rsidR="00641A9A">
        <w:rPr>
          <w:sz w:val="16"/>
          <w:szCs w:val="16"/>
        </w:rPr>
        <w:t xml:space="preserve"> </w:t>
      </w:r>
      <w:r w:rsidR="0088680E" w:rsidRPr="00641A9A">
        <w:rPr>
          <w:sz w:val="16"/>
          <w:szCs w:val="16"/>
        </w:rPr>
        <w:t>reklamované služby sjednal (zakoupil) – tedy ve své c</w:t>
      </w:r>
      <w:r w:rsidR="00641A9A" w:rsidRPr="00641A9A">
        <w:rPr>
          <w:sz w:val="16"/>
          <w:szCs w:val="16"/>
        </w:rPr>
        <w:t>estovní agentuře či pobočce CK.</w:t>
      </w:r>
    </w:p>
    <w:p w14:paraId="2AC9F111" w14:textId="77777777" w:rsidR="0088680E" w:rsidRPr="00653770" w:rsidRDefault="0088680E" w:rsidP="00641A9A">
      <w:pPr>
        <w:widowControl/>
        <w:ind w:left="426" w:right="-51"/>
        <w:jc w:val="both"/>
        <w:rPr>
          <w:sz w:val="16"/>
          <w:szCs w:val="16"/>
        </w:rPr>
      </w:pPr>
      <w:r w:rsidRPr="00653770">
        <w:rPr>
          <w:sz w:val="16"/>
          <w:szCs w:val="16"/>
        </w:rPr>
        <w:t>Zákazník při uplatňování reklamace uvede své jméno, příjmení, trvalé bydliště, datum, důvod a pře</w:t>
      </w:r>
      <w:r w:rsidR="00641A9A">
        <w:rPr>
          <w:sz w:val="16"/>
          <w:szCs w:val="16"/>
        </w:rPr>
        <w:t xml:space="preserve">dmět reklamace, specifikaci </w:t>
      </w:r>
      <w:r w:rsidRPr="00653770">
        <w:rPr>
          <w:sz w:val="16"/>
          <w:szCs w:val="16"/>
        </w:rPr>
        <w:t>požadavků co do důvodu a výše a dle možnosti předmět reklamace průkazně skutkově doloží. Cestovní kancelář zákazníkovi doporučuje předložit doklad o poskytnuté službě. Je-li uzavření SZ zprostředkováno jinou cestovní kan</w:t>
      </w:r>
      <w:r w:rsidR="00641A9A">
        <w:rPr>
          <w:sz w:val="16"/>
          <w:szCs w:val="16"/>
        </w:rPr>
        <w:t xml:space="preserve">celáří nebo cestovní agenturou, </w:t>
      </w:r>
      <w:r w:rsidRPr="00653770">
        <w:rPr>
          <w:sz w:val="16"/>
          <w:szCs w:val="16"/>
        </w:rPr>
        <w:t xml:space="preserve">může zákazník reklamaci uplatnit u této zprostředkující cestovní kanceláře nebo cestovní agentury. </w:t>
      </w:r>
      <w:r w:rsidR="00641A9A">
        <w:rPr>
          <w:sz w:val="16"/>
          <w:szCs w:val="16"/>
        </w:rPr>
        <w:t xml:space="preserve">   </w:t>
      </w:r>
      <w:r w:rsidRPr="00653770">
        <w:rPr>
          <w:sz w:val="16"/>
          <w:szCs w:val="16"/>
        </w:rPr>
        <w:t>Za zákazníka se pro účely reklamace považuje každý účastník zájezdu uvedený v SZ.</w:t>
      </w:r>
    </w:p>
    <w:p w14:paraId="2031D62B" w14:textId="77777777" w:rsidR="0088680E" w:rsidRPr="00653770" w:rsidRDefault="0088680E" w:rsidP="0088680E">
      <w:pPr>
        <w:pStyle w:val="Odstavecseseznamem"/>
        <w:widowControl/>
        <w:numPr>
          <w:ilvl w:val="0"/>
          <w:numId w:val="1"/>
        </w:numPr>
        <w:ind w:left="426" w:right="-51" w:hanging="426"/>
        <w:jc w:val="both"/>
        <w:rPr>
          <w:sz w:val="16"/>
          <w:szCs w:val="16"/>
        </w:rPr>
      </w:pPr>
      <w:r w:rsidRPr="00653770">
        <w:rPr>
          <w:sz w:val="16"/>
          <w:szCs w:val="16"/>
        </w:rPr>
        <w:t xml:space="preserve">K uplatněné reklamaci musí být vždy vystaveno potvrzení o reklamaci - reklamační protokol - v němž musí být uvedeno, kdy zákazník reklamaci uplatnil, identifikační údaje zákazníka, co je předmětem reklamace a jaký způsob vyřízení zákazník požaduje. Jestliže zákazník předá zástupci cestovní kanceláře v místě poskytované služby určité písemnosti, popř. jiné podklady týkající se reklamace, musí být tato skutečnost v protokolu výslovně uvedena. Reklamační protokol podepisuje osoba, která se zákazníkem protokol sepisuje a zákazníkovi se doporučuje, aby svým podpisem na reklamačním protokolu stvrdil převzetí jeho kopie a souhlas s jeho obsahem. Reklamační protokol je součástí reklamačního řízení. </w:t>
      </w:r>
    </w:p>
    <w:p w14:paraId="32F203EB" w14:textId="77777777" w:rsidR="00135EAD" w:rsidRPr="00653770" w:rsidRDefault="00135EAD" w:rsidP="00135EAD">
      <w:pPr>
        <w:pStyle w:val="Odstavecseseznamem"/>
        <w:widowControl/>
        <w:numPr>
          <w:ilvl w:val="0"/>
          <w:numId w:val="1"/>
        </w:numPr>
        <w:ind w:left="426" w:right="-51" w:hanging="426"/>
        <w:jc w:val="both"/>
        <w:rPr>
          <w:color w:val="auto"/>
          <w:sz w:val="16"/>
          <w:szCs w:val="16"/>
        </w:rPr>
      </w:pPr>
      <w:r w:rsidRPr="00653770">
        <w:rPr>
          <w:color w:val="auto"/>
          <w:sz w:val="16"/>
          <w:szCs w:val="16"/>
        </w:rPr>
        <w:t>K uplatněné reklamaci musí být vždy vystaveno potvrzení o reklamaci - reklamační protokol - v němž musí být uvedeno, kdy zákazník reklamaci uplatnil, identifikační údaje zákazníka, co je předmětem reklamace a jaký způsob vyřízení zákazník požaduje.</w:t>
      </w:r>
      <w:r w:rsidRPr="00653770">
        <w:rPr>
          <w:snapToGrid w:val="0"/>
          <w:color w:val="auto"/>
          <w:sz w:val="16"/>
          <w:szCs w:val="16"/>
        </w:rPr>
        <w:t xml:space="preserve"> </w:t>
      </w:r>
      <w:r w:rsidRPr="00653770">
        <w:rPr>
          <w:color w:val="auto"/>
          <w:sz w:val="16"/>
          <w:szCs w:val="16"/>
        </w:rPr>
        <w:t>Jestliže zákazník předá zástupci cestovní kanceláře v místě poskytované služby určité písemnosti, popř. jiné podklady týkající se reklamace, musí být tato skutečnost v protokolu výslovně uvedena. Reklamační protokol podepisuje osoba, která se zákazníkem protokol sepisuje a zákazníkovi se doporučuje, aby svým podpisem na reklamačním protokolu stvrdil</w:t>
      </w:r>
      <w:r w:rsidR="00641A9A">
        <w:rPr>
          <w:color w:val="auto"/>
          <w:sz w:val="16"/>
          <w:szCs w:val="16"/>
        </w:rPr>
        <w:t xml:space="preserve"> převzetí jeho kopie a souhlas s jeho obsahem. </w:t>
      </w:r>
      <w:r w:rsidR="0088680E" w:rsidRPr="00653770">
        <w:rPr>
          <w:color w:val="auto"/>
          <w:sz w:val="16"/>
          <w:szCs w:val="16"/>
        </w:rPr>
        <w:t>Reklamační protokol je</w:t>
      </w:r>
      <w:r w:rsidR="00A007AA" w:rsidRPr="00653770">
        <w:rPr>
          <w:color w:val="auto"/>
          <w:sz w:val="16"/>
          <w:szCs w:val="16"/>
        </w:rPr>
        <w:t xml:space="preserve"> součásti reklamačního řízení.</w:t>
      </w:r>
    </w:p>
    <w:p w14:paraId="098D0F1D" w14:textId="77777777" w:rsidR="00135EAD" w:rsidRPr="00653770" w:rsidRDefault="00135EAD" w:rsidP="00135EAD">
      <w:pPr>
        <w:pStyle w:val="Style7"/>
        <w:shd w:val="clear" w:color="auto" w:fill="auto"/>
        <w:spacing w:before="0" w:line="276" w:lineRule="auto"/>
        <w:ind w:left="426" w:right="-51" w:hanging="426"/>
        <w:rPr>
          <w:rFonts w:ascii="Times New Roman" w:hAnsi="Times New Roman"/>
          <w:b w:val="0"/>
          <w:sz w:val="16"/>
          <w:szCs w:val="16"/>
        </w:rPr>
      </w:pPr>
      <w:r w:rsidRPr="00653770">
        <w:rPr>
          <w:rStyle w:val="CharStyle8"/>
          <w:rFonts w:ascii="Times New Roman" w:hAnsi="Times New Roman" w:cs="Times New Roman"/>
          <w:b/>
          <w:sz w:val="16"/>
          <w:szCs w:val="16"/>
        </w:rPr>
        <w:t>4. Vyřizování reklamací</w:t>
      </w:r>
    </w:p>
    <w:p w14:paraId="03897C9E" w14:textId="77777777" w:rsidR="00B97D78" w:rsidRPr="00653770" w:rsidRDefault="00B97D78" w:rsidP="00B97D78">
      <w:pPr>
        <w:pStyle w:val="Style9"/>
        <w:numPr>
          <w:ilvl w:val="0"/>
          <w:numId w:val="4"/>
        </w:numPr>
        <w:shd w:val="clear" w:color="auto" w:fill="auto"/>
        <w:spacing w:line="240" w:lineRule="auto"/>
        <w:ind w:left="426" w:right="-51" w:hanging="426"/>
        <w:rPr>
          <w:rStyle w:val="CharStyle10"/>
          <w:rFonts w:ascii="Times New Roman" w:eastAsia="Calibri" w:hAnsi="Times New Roman" w:cs="Times New Roman"/>
          <w:sz w:val="16"/>
          <w:szCs w:val="16"/>
        </w:rPr>
      </w:pPr>
      <w:r w:rsidRPr="00653770">
        <w:rPr>
          <w:rStyle w:val="CharStyle10"/>
          <w:rFonts w:ascii="Times New Roman" w:eastAsia="Calibri" w:hAnsi="Times New Roman" w:cs="Times New Roman"/>
          <w:sz w:val="16"/>
          <w:szCs w:val="16"/>
        </w:rPr>
        <w:t>Cestovní kancelář nebo jí pověřený pracovník rozhodne o reklamaci ihned, ve složitých případech do tří pracovních dnů. Do této lhůty se nezapočítává doba přiměřená podle druhu služby potřebná k odbornému posouzení vady.</w:t>
      </w:r>
    </w:p>
    <w:p w14:paraId="4C7E6BE6" w14:textId="77777777" w:rsidR="00B97D78" w:rsidRPr="00653770" w:rsidRDefault="00B97D78" w:rsidP="00B97D78">
      <w:pPr>
        <w:pStyle w:val="Style9"/>
        <w:numPr>
          <w:ilvl w:val="0"/>
          <w:numId w:val="4"/>
        </w:numPr>
        <w:shd w:val="clear" w:color="auto" w:fill="auto"/>
        <w:spacing w:line="240" w:lineRule="auto"/>
        <w:ind w:left="426" w:right="-51" w:hanging="426"/>
        <w:rPr>
          <w:rStyle w:val="CharStyle10"/>
          <w:rFonts w:ascii="Times New Roman" w:eastAsia="Calibri" w:hAnsi="Times New Roman" w:cs="Times New Roman"/>
          <w:sz w:val="16"/>
          <w:szCs w:val="16"/>
        </w:rPr>
      </w:pPr>
      <w:r w:rsidRPr="00653770">
        <w:rPr>
          <w:rStyle w:val="CharStyle10"/>
          <w:rFonts w:ascii="Times New Roman" w:eastAsia="Calibri" w:hAnsi="Times New Roman" w:cs="Times New Roman"/>
          <w:sz w:val="16"/>
          <w:szCs w:val="16"/>
        </w:rPr>
        <w:t>Reklamace včetně odstranění vady musí být vyřízena bez zbytečného odkladu, nejpozději však do 30 dnů ode dne uplatnění reklamace, pokud se cestovní kancelář se zákazníkem nedohodnou na delší lhůtě. Marné uplynutí této lhůty se považuje za podstatné porušení smlouvy.</w:t>
      </w:r>
    </w:p>
    <w:p w14:paraId="28FE40BB" w14:textId="77777777" w:rsidR="00B97D78" w:rsidRDefault="00B97D78" w:rsidP="00B97D78">
      <w:pPr>
        <w:pStyle w:val="Style9"/>
        <w:numPr>
          <w:ilvl w:val="0"/>
          <w:numId w:val="4"/>
        </w:numPr>
        <w:shd w:val="clear" w:color="auto" w:fill="auto"/>
        <w:spacing w:line="240" w:lineRule="auto"/>
        <w:ind w:left="426" w:hanging="426"/>
        <w:rPr>
          <w:rStyle w:val="CharStyle10"/>
          <w:rFonts w:ascii="Times New Roman" w:eastAsia="Calibri" w:hAnsi="Times New Roman" w:cs="Times New Roman"/>
          <w:sz w:val="16"/>
          <w:szCs w:val="16"/>
        </w:rPr>
      </w:pPr>
      <w:r w:rsidRPr="00653770">
        <w:rPr>
          <w:rStyle w:val="CharStyle10"/>
          <w:rFonts w:ascii="Times New Roman" w:eastAsia="Calibri" w:hAnsi="Times New Roman" w:cs="Times New Roman"/>
          <w:sz w:val="16"/>
          <w:szCs w:val="16"/>
        </w:rPr>
        <w:t xml:space="preserve">Zákazníkovi se vydává potvrzení o datu a způsobu vyřízení reklamace. V případech, kdy je reklamace posouzena jako nedůvodná, je zákazník písemně informován </w:t>
      </w:r>
      <w:r w:rsidR="00641A9A">
        <w:rPr>
          <w:rStyle w:val="CharStyle10"/>
          <w:rFonts w:ascii="Times New Roman" w:eastAsia="Calibri" w:hAnsi="Times New Roman" w:cs="Times New Roman"/>
          <w:sz w:val="16"/>
          <w:szCs w:val="16"/>
        </w:rPr>
        <w:t xml:space="preserve">        </w:t>
      </w:r>
      <w:r w:rsidRPr="00653770">
        <w:rPr>
          <w:rStyle w:val="CharStyle10"/>
          <w:rFonts w:ascii="Times New Roman" w:eastAsia="Calibri" w:hAnsi="Times New Roman" w:cs="Times New Roman"/>
          <w:sz w:val="16"/>
          <w:szCs w:val="16"/>
        </w:rPr>
        <w:t>o důvodech zamítnutí reklamace ve smyslu § 19 odst. 1 zák. o ochraně spotřebitele.</w:t>
      </w:r>
    </w:p>
    <w:p w14:paraId="3D06082C" w14:textId="77777777" w:rsidR="00641A9A" w:rsidRPr="00641A9A" w:rsidRDefault="00641A9A" w:rsidP="00641A9A">
      <w:pPr>
        <w:pStyle w:val="Style9"/>
        <w:shd w:val="clear" w:color="auto" w:fill="auto"/>
        <w:spacing w:line="240" w:lineRule="auto"/>
        <w:ind w:left="426" w:firstLine="0"/>
        <w:rPr>
          <w:rStyle w:val="CharStyle10"/>
          <w:rFonts w:ascii="Times New Roman" w:eastAsia="Calibri" w:hAnsi="Times New Roman" w:cs="Times New Roman"/>
          <w:sz w:val="10"/>
          <w:szCs w:val="10"/>
        </w:rPr>
      </w:pPr>
    </w:p>
    <w:p w14:paraId="2B744957" w14:textId="77777777" w:rsidR="00135EAD" w:rsidRPr="00653770" w:rsidRDefault="00135EAD" w:rsidP="00135EAD">
      <w:pPr>
        <w:pStyle w:val="Style9"/>
        <w:shd w:val="clear" w:color="auto" w:fill="auto"/>
        <w:spacing w:line="276" w:lineRule="auto"/>
        <w:ind w:left="426" w:hanging="426"/>
        <w:jc w:val="center"/>
        <w:rPr>
          <w:rStyle w:val="CharStyle10"/>
          <w:rFonts w:ascii="Times New Roman" w:hAnsi="Times New Roman" w:cs="Times New Roman"/>
          <w:b/>
          <w:sz w:val="16"/>
          <w:szCs w:val="16"/>
        </w:rPr>
      </w:pPr>
      <w:r w:rsidRPr="00653770">
        <w:rPr>
          <w:rStyle w:val="CharStyle10"/>
          <w:rFonts w:ascii="Times New Roman" w:hAnsi="Times New Roman" w:cs="Times New Roman"/>
          <w:b/>
          <w:sz w:val="16"/>
          <w:szCs w:val="16"/>
        </w:rPr>
        <w:t>5. Mimosoudní řešení spotřebitelských sporů</w:t>
      </w:r>
    </w:p>
    <w:p w14:paraId="272E61C7" w14:textId="77777777" w:rsidR="00A007AA" w:rsidRPr="00653770" w:rsidRDefault="00A007AA" w:rsidP="00A007AA">
      <w:pPr>
        <w:pStyle w:val="Style9"/>
        <w:spacing w:line="276" w:lineRule="auto"/>
        <w:ind w:firstLine="0"/>
        <w:rPr>
          <w:rStyle w:val="CharStyle10"/>
          <w:rFonts w:ascii="Times New Roman" w:hAnsi="Times New Roman" w:cs="Times New Roman"/>
          <w:sz w:val="16"/>
          <w:szCs w:val="16"/>
        </w:rPr>
      </w:pPr>
      <w:r w:rsidRPr="00653770">
        <w:rPr>
          <w:rStyle w:val="CharStyle10"/>
          <w:rFonts w:ascii="Times New Roman" w:hAnsi="Times New Roman" w:cs="Times New Roman"/>
          <w:sz w:val="16"/>
          <w:szCs w:val="16"/>
        </w:rPr>
        <w:t xml:space="preserve">         </w:t>
      </w:r>
      <w:r w:rsidR="00135EAD" w:rsidRPr="00653770">
        <w:rPr>
          <w:rStyle w:val="CharStyle10"/>
          <w:rFonts w:ascii="Times New Roman" w:hAnsi="Times New Roman" w:cs="Times New Roman"/>
          <w:sz w:val="16"/>
          <w:szCs w:val="16"/>
        </w:rPr>
        <w:t xml:space="preserve">Dle zákona o ochraně spotřebitele je možné, aby se zákazník obrátil na Českou obchodní inspekci a zahájil řízení pro mimosoudní </w:t>
      </w:r>
      <w:r w:rsidRPr="00653770">
        <w:rPr>
          <w:rStyle w:val="CharStyle10"/>
          <w:rFonts w:ascii="Times New Roman" w:hAnsi="Times New Roman" w:cs="Times New Roman"/>
          <w:sz w:val="16"/>
          <w:szCs w:val="16"/>
        </w:rPr>
        <w:t xml:space="preserve">   </w:t>
      </w:r>
    </w:p>
    <w:p w14:paraId="3969DA99" w14:textId="77777777" w:rsidR="00A007AA" w:rsidRPr="00653770" w:rsidRDefault="00A007AA" w:rsidP="00A007AA">
      <w:pPr>
        <w:pStyle w:val="Style9"/>
        <w:spacing w:line="276" w:lineRule="auto"/>
        <w:ind w:firstLine="0"/>
        <w:rPr>
          <w:rFonts w:ascii="Times New Roman" w:hAnsi="Times New Roman" w:cs="Times New Roman"/>
          <w:sz w:val="16"/>
          <w:szCs w:val="16"/>
        </w:rPr>
      </w:pPr>
      <w:r w:rsidRPr="00653770">
        <w:rPr>
          <w:rStyle w:val="CharStyle10"/>
          <w:rFonts w:ascii="Times New Roman" w:hAnsi="Times New Roman" w:cs="Times New Roman"/>
          <w:sz w:val="16"/>
          <w:szCs w:val="16"/>
        </w:rPr>
        <w:t xml:space="preserve">          </w:t>
      </w:r>
      <w:r w:rsidR="00135EAD" w:rsidRPr="00653770">
        <w:rPr>
          <w:rStyle w:val="CharStyle10"/>
          <w:rFonts w:ascii="Times New Roman" w:hAnsi="Times New Roman" w:cs="Times New Roman"/>
          <w:sz w:val="16"/>
          <w:szCs w:val="16"/>
        </w:rPr>
        <w:t xml:space="preserve">řešení </w:t>
      </w:r>
      <w:r w:rsidR="00135EAD" w:rsidRPr="00653770">
        <w:rPr>
          <w:rFonts w:ascii="Times New Roman" w:hAnsi="Times New Roman"/>
          <w:bCs/>
          <w:sz w:val="16"/>
          <w:szCs w:val="16"/>
        </w:rPr>
        <w:t xml:space="preserve">spotřebitelského </w:t>
      </w:r>
      <w:r w:rsidR="00135EAD" w:rsidRPr="00653770">
        <w:rPr>
          <w:rStyle w:val="CharStyle10"/>
          <w:rFonts w:ascii="Times New Roman" w:hAnsi="Times New Roman" w:cs="Times New Roman"/>
          <w:sz w:val="16"/>
          <w:szCs w:val="16"/>
        </w:rPr>
        <w:t xml:space="preserve">sporu. </w:t>
      </w:r>
      <w:r w:rsidR="00135EAD" w:rsidRPr="00653770">
        <w:rPr>
          <w:rFonts w:ascii="Times New Roman" w:hAnsi="Times New Roman" w:cs="Times New Roman"/>
          <w:b/>
          <w:bCs/>
          <w:sz w:val="16"/>
          <w:szCs w:val="16"/>
        </w:rPr>
        <w:t>Kontaktní údaje: </w:t>
      </w:r>
      <w:r w:rsidR="00135EAD" w:rsidRPr="00653770">
        <w:rPr>
          <w:rFonts w:ascii="Times New Roman" w:hAnsi="Times New Roman" w:cs="Times New Roman"/>
          <w:bCs/>
          <w:sz w:val="16"/>
          <w:szCs w:val="16"/>
        </w:rPr>
        <w:t xml:space="preserve">Česká obchodní inspekce, </w:t>
      </w:r>
      <w:r w:rsidR="00135EAD" w:rsidRPr="00653770">
        <w:rPr>
          <w:rFonts w:ascii="Times New Roman" w:hAnsi="Times New Roman" w:cs="Times New Roman"/>
          <w:iCs/>
          <w:sz w:val="16"/>
          <w:szCs w:val="16"/>
        </w:rPr>
        <w:t xml:space="preserve">Ústřední inspektorát - oddělení ADR, </w:t>
      </w:r>
      <w:r w:rsidR="00135EAD" w:rsidRPr="00653770">
        <w:rPr>
          <w:rFonts w:ascii="Times New Roman" w:hAnsi="Times New Roman" w:cs="Times New Roman"/>
          <w:sz w:val="16"/>
          <w:szCs w:val="16"/>
        </w:rPr>
        <w:t xml:space="preserve">Štěpánská 15, </w:t>
      </w:r>
    </w:p>
    <w:p w14:paraId="2CF3E81D" w14:textId="77777777" w:rsidR="00FC03E2" w:rsidRDefault="00A007AA" w:rsidP="00A007AA">
      <w:pPr>
        <w:pStyle w:val="Style9"/>
        <w:spacing w:line="276" w:lineRule="auto"/>
        <w:ind w:firstLine="0"/>
        <w:rPr>
          <w:rFonts w:ascii="Times New Roman" w:hAnsi="Times New Roman"/>
          <w:color w:val="000000" w:themeColor="text1"/>
          <w:sz w:val="13"/>
          <w:szCs w:val="13"/>
        </w:rPr>
      </w:pPr>
      <w:r w:rsidRPr="00653770">
        <w:rPr>
          <w:rFonts w:ascii="Times New Roman" w:hAnsi="Times New Roman" w:cs="Times New Roman"/>
          <w:sz w:val="16"/>
          <w:szCs w:val="16"/>
        </w:rPr>
        <w:t xml:space="preserve">         </w:t>
      </w:r>
      <w:r w:rsidR="00135EAD" w:rsidRPr="00653770">
        <w:rPr>
          <w:rFonts w:ascii="Times New Roman" w:hAnsi="Times New Roman" w:cs="Times New Roman"/>
          <w:sz w:val="16"/>
          <w:szCs w:val="16"/>
        </w:rPr>
        <w:t xml:space="preserve">120 </w:t>
      </w:r>
      <w:r w:rsidRPr="00653770">
        <w:rPr>
          <w:rFonts w:ascii="Times New Roman" w:hAnsi="Times New Roman" w:cs="Times New Roman"/>
          <w:sz w:val="16"/>
          <w:szCs w:val="16"/>
        </w:rPr>
        <w:t xml:space="preserve"> </w:t>
      </w:r>
      <w:r w:rsidR="00135EAD" w:rsidRPr="00653770">
        <w:rPr>
          <w:rFonts w:ascii="Times New Roman" w:hAnsi="Times New Roman" w:cs="Times New Roman"/>
          <w:sz w:val="16"/>
          <w:szCs w:val="16"/>
        </w:rPr>
        <w:t>00 Praha 2</w:t>
      </w:r>
      <w:r w:rsidRPr="00653770">
        <w:rPr>
          <w:rFonts w:ascii="Times New Roman" w:hAnsi="Times New Roman" w:cs="Times New Roman"/>
          <w:sz w:val="16"/>
          <w:szCs w:val="16"/>
        </w:rPr>
        <w:t xml:space="preserve">, </w:t>
      </w:r>
      <w:r w:rsidR="00135EAD" w:rsidRPr="00653770">
        <w:rPr>
          <w:rFonts w:ascii="Times New Roman" w:hAnsi="Times New Roman" w:cs="Times New Roman"/>
          <w:sz w:val="16"/>
          <w:szCs w:val="16"/>
        </w:rPr>
        <w:t xml:space="preserve">Email: </w:t>
      </w:r>
      <w:hyperlink r:id="rId7" w:tooltip="adr@coi.cz" w:history="1">
        <w:r w:rsidR="00135EAD" w:rsidRPr="00653770">
          <w:rPr>
            <w:rFonts w:ascii="Times New Roman" w:hAnsi="Times New Roman" w:cs="Times New Roman"/>
            <w:sz w:val="16"/>
            <w:szCs w:val="16"/>
            <w:u w:val="single"/>
          </w:rPr>
          <w:t>adr@coi.cz</w:t>
        </w:r>
      </w:hyperlink>
      <w:r w:rsidR="00135EAD" w:rsidRPr="00653770">
        <w:rPr>
          <w:rFonts w:ascii="Times New Roman" w:hAnsi="Times New Roman" w:cs="Times New Roman"/>
          <w:sz w:val="16"/>
          <w:szCs w:val="16"/>
        </w:rPr>
        <w:t>; Web</w:t>
      </w:r>
      <w:r w:rsidRPr="00653770">
        <w:rPr>
          <w:rFonts w:ascii="Times New Roman" w:hAnsi="Times New Roman" w:cs="Times New Roman"/>
          <w:sz w:val="16"/>
          <w:szCs w:val="16"/>
        </w:rPr>
        <w:t>ové stránky</w:t>
      </w:r>
      <w:r w:rsidR="00135EAD" w:rsidRPr="00653770">
        <w:rPr>
          <w:rFonts w:ascii="Times New Roman" w:hAnsi="Times New Roman" w:cs="Times New Roman"/>
          <w:sz w:val="16"/>
          <w:szCs w:val="16"/>
        </w:rPr>
        <w:t>:</w:t>
      </w:r>
      <w:r w:rsidRPr="00653770">
        <w:rPr>
          <w:rFonts w:ascii="Times New Roman" w:hAnsi="Times New Roman" w:cs="Times New Roman"/>
          <w:sz w:val="16"/>
          <w:szCs w:val="16"/>
        </w:rPr>
        <w:t>www.</w:t>
      </w:r>
      <w:r w:rsidR="00135EAD" w:rsidRPr="00653770">
        <w:rPr>
          <w:rFonts w:ascii="Times New Roman" w:hAnsi="Times New Roman" w:cs="Times New Roman"/>
          <w:sz w:val="16"/>
          <w:szCs w:val="16"/>
        </w:rPr>
        <w:t xml:space="preserve"> </w:t>
      </w:r>
      <w:hyperlink r:id="rId8" w:tgtFrame="_blank" w:history="1">
        <w:r w:rsidR="00135EAD" w:rsidRPr="00653770">
          <w:rPr>
            <w:rFonts w:ascii="Times New Roman" w:hAnsi="Times New Roman" w:cs="Times New Roman"/>
            <w:sz w:val="16"/>
            <w:szCs w:val="16"/>
            <w:u w:val="single"/>
          </w:rPr>
          <w:t>adr.coi.cz</w:t>
        </w:r>
      </w:hyperlink>
      <w:r w:rsidR="00FC03E2">
        <w:t xml:space="preserve"> . </w:t>
      </w:r>
      <w:r w:rsidR="00FC03E2">
        <w:rPr>
          <w:rFonts w:ascii="Times New Roman" w:hAnsi="Times New Roman"/>
          <w:color w:val="000000" w:themeColor="text1"/>
          <w:sz w:val="13"/>
          <w:szCs w:val="13"/>
        </w:rPr>
        <w:t xml:space="preserve">Zákazník, který uzavřel smlouvu </w:t>
      </w:r>
      <w:r w:rsidR="00FC03E2">
        <w:rPr>
          <w:rStyle w:val="Siln"/>
          <w:rFonts w:ascii="Times New Roman" w:hAnsi="Times New Roman"/>
          <w:color w:val="000000" w:themeColor="text1"/>
          <w:sz w:val="13"/>
          <w:szCs w:val="13"/>
        </w:rPr>
        <w:t xml:space="preserve">online se může obrátit při mimosoudním řešení sporů </w:t>
      </w:r>
      <w:r w:rsidR="00FC03E2">
        <w:rPr>
          <w:rFonts w:ascii="Times New Roman" w:hAnsi="Times New Roman"/>
          <w:color w:val="000000" w:themeColor="text1"/>
          <w:sz w:val="13"/>
          <w:szCs w:val="13"/>
        </w:rPr>
        <w:t xml:space="preserve">na Evropskou komisi (tzv.  </w:t>
      </w:r>
    </w:p>
    <w:p w14:paraId="241C73C8" w14:textId="77777777" w:rsidR="00135EAD" w:rsidRDefault="00FC03E2" w:rsidP="00A007AA">
      <w:pPr>
        <w:pStyle w:val="Style9"/>
        <w:spacing w:line="276" w:lineRule="auto"/>
        <w:ind w:firstLine="0"/>
        <w:rPr>
          <w:rFonts w:ascii="Times New Roman" w:hAnsi="Times New Roman" w:cs="Times New Roman"/>
          <w:sz w:val="16"/>
          <w:szCs w:val="16"/>
          <w:u w:val="single"/>
        </w:rPr>
      </w:pPr>
      <w:r>
        <w:rPr>
          <w:rFonts w:ascii="Times New Roman" w:hAnsi="Times New Roman"/>
          <w:color w:val="000000" w:themeColor="text1"/>
          <w:sz w:val="13"/>
          <w:szCs w:val="13"/>
        </w:rPr>
        <w:t xml:space="preserve">            ODR). Více informací naleznou spotřebitelé zde: </w:t>
      </w:r>
      <w:hyperlink r:id="rId9" w:history="1">
        <w:r>
          <w:rPr>
            <w:rStyle w:val="Hypertextovodkaz"/>
            <w:rFonts w:ascii="Times New Roman" w:hAnsi="Times New Roman"/>
            <w:color w:val="000000" w:themeColor="text1"/>
            <w:sz w:val="13"/>
            <w:szCs w:val="13"/>
          </w:rPr>
          <w:t>http://ec.europa.eu/consumers/odr</w:t>
        </w:r>
      </w:hyperlink>
      <w:r>
        <w:rPr>
          <w:rFonts w:ascii="Times New Roman" w:hAnsi="Times New Roman"/>
          <w:color w:val="000000" w:themeColor="text1"/>
          <w:sz w:val="13"/>
          <w:szCs w:val="13"/>
        </w:rPr>
        <w:t>. </w:t>
      </w:r>
    </w:p>
    <w:p w14:paraId="729291ED" w14:textId="77777777" w:rsidR="00641A9A" w:rsidRPr="00641A9A" w:rsidRDefault="00641A9A" w:rsidP="00A007AA">
      <w:pPr>
        <w:pStyle w:val="Style9"/>
        <w:spacing w:line="276" w:lineRule="auto"/>
        <w:ind w:firstLine="0"/>
        <w:rPr>
          <w:rFonts w:ascii="Times New Roman" w:hAnsi="Times New Roman" w:cs="Times New Roman"/>
          <w:sz w:val="10"/>
          <w:szCs w:val="10"/>
        </w:rPr>
      </w:pPr>
    </w:p>
    <w:p w14:paraId="7BF51BDE" w14:textId="77777777" w:rsidR="00135EAD" w:rsidRPr="00653770" w:rsidRDefault="00135EAD" w:rsidP="00135EAD">
      <w:pPr>
        <w:pStyle w:val="Style9"/>
        <w:shd w:val="clear" w:color="auto" w:fill="auto"/>
        <w:spacing w:line="276" w:lineRule="auto"/>
        <w:ind w:left="426" w:hanging="426"/>
        <w:jc w:val="center"/>
        <w:rPr>
          <w:rStyle w:val="CharStyle10"/>
          <w:rFonts w:ascii="Times New Roman" w:hAnsi="Times New Roman" w:cs="Times New Roman"/>
          <w:b/>
          <w:sz w:val="16"/>
          <w:szCs w:val="16"/>
        </w:rPr>
      </w:pPr>
      <w:r w:rsidRPr="00653770">
        <w:rPr>
          <w:rStyle w:val="CharStyle10"/>
          <w:rFonts w:ascii="Times New Roman" w:hAnsi="Times New Roman" w:cs="Times New Roman"/>
          <w:b/>
          <w:sz w:val="16"/>
          <w:szCs w:val="16"/>
        </w:rPr>
        <w:t>6. Společná ustanovení</w:t>
      </w:r>
    </w:p>
    <w:p w14:paraId="053B0DB6" w14:textId="77777777" w:rsidR="00A007AA" w:rsidRPr="00653770" w:rsidRDefault="00A007AA" w:rsidP="00A007AA">
      <w:pPr>
        <w:pStyle w:val="Odstavecseseznamem"/>
        <w:widowControl/>
        <w:numPr>
          <w:ilvl w:val="0"/>
          <w:numId w:val="5"/>
        </w:numPr>
        <w:ind w:left="426" w:right="-51" w:hanging="426"/>
        <w:jc w:val="both"/>
        <w:rPr>
          <w:sz w:val="18"/>
          <w:szCs w:val="18"/>
        </w:rPr>
      </w:pPr>
      <w:r w:rsidRPr="00653770">
        <w:rPr>
          <w:sz w:val="18"/>
          <w:szCs w:val="18"/>
        </w:rPr>
        <w:t xml:space="preserve">Nemá-li zájezd vlastnosti, o nichž cestovní kancelář zákazníka ujistila nebo které zákazník vzhledem k nabídce a zvyklostem důvodně očekával, zajistí cestovní kancelář nápravu, pokud si nevyžádá neúměrné náklady. </w:t>
      </w:r>
    </w:p>
    <w:p w14:paraId="4589AE8C" w14:textId="77777777" w:rsidR="00A007AA" w:rsidRPr="00653770" w:rsidRDefault="00A007AA" w:rsidP="00A007AA">
      <w:pPr>
        <w:pStyle w:val="Odstavecseseznamem"/>
        <w:widowControl/>
        <w:numPr>
          <w:ilvl w:val="0"/>
          <w:numId w:val="5"/>
        </w:numPr>
        <w:ind w:left="426" w:right="-51" w:hanging="426"/>
        <w:jc w:val="both"/>
        <w:rPr>
          <w:sz w:val="18"/>
          <w:szCs w:val="18"/>
        </w:rPr>
      </w:pPr>
      <w:r w:rsidRPr="00653770">
        <w:rPr>
          <w:sz w:val="18"/>
          <w:szCs w:val="18"/>
        </w:rPr>
        <w:t xml:space="preserve">Nezjedná-li cestovní kancelář nápravu ani v přiměřené lhůtě, kterou mu zákazník určí, může si zákazník zjednat nápravu sám a cestovní kancelář mu nahradí účelně vynaložené náklady. Určení lhůty k nápravě není třeba, pokud cestovní kancelář odmítla nápravu zjednat nebo vyžaduje-li se okamžitá náhrada vzhledem k zvláštnímu zájmu zákazníka. </w:t>
      </w:r>
    </w:p>
    <w:p w14:paraId="4DFA09E0" w14:textId="77777777" w:rsidR="00A007AA" w:rsidRPr="00653770" w:rsidRDefault="00A007AA" w:rsidP="00A007AA">
      <w:pPr>
        <w:pStyle w:val="Odstavecseseznamem"/>
        <w:widowControl/>
        <w:numPr>
          <w:ilvl w:val="0"/>
          <w:numId w:val="5"/>
        </w:numPr>
        <w:ind w:left="426" w:right="-51" w:hanging="426"/>
        <w:jc w:val="both"/>
        <w:rPr>
          <w:sz w:val="18"/>
          <w:szCs w:val="18"/>
        </w:rPr>
      </w:pPr>
      <w:r w:rsidRPr="00653770">
        <w:rPr>
          <w:sz w:val="18"/>
          <w:szCs w:val="18"/>
        </w:rPr>
        <w:t xml:space="preserve">Vyskytnou-li se po odjezdu podstatné vady zájezdu a nepřijme-li cestovní kancelář opatření, aby zájezd mohl pokračovat, nebo zákazník opatření z řádného důvodu odmítne, zajistí cestovní kancelář na své náklady přepravu zákazníka na místo odjezdu popř. na jiné ujednané místo. Nelze-li pokračování zájezdu zajistit jinak než prostřednictvím služeb cestovního ruchu nižší jakosti, vrátí zákazníkovi rozdíl v ceně, zajistí-li pokračování s vyššími náklady, jdou tyto k tíži cestovní kanceláře. </w:t>
      </w:r>
    </w:p>
    <w:p w14:paraId="0C59A820" w14:textId="77777777" w:rsidR="00A007AA" w:rsidRPr="00653770" w:rsidRDefault="00A007AA" w:rsidP="00A007AA">
      <w:pPr>
        <w:pStyle w:val="Odstavecseseznamem"/>
        <w:widowControl/>
        <w:numPr>
          <w:ilvl w:val="0"/>
          <w:numId w:val="5"/>
        </w:numPr>
        <w:ind w:left="426" w:right="-51" w:hanging="426"/>
        <w:jc w:val="both"/>
        <w:rPr>
          <w:sz w:val="18"/>
          <w:szCs w:val="18"/>
        </w:rPr>
      </w:pPr>
      <w:r w:rsidRPr="00653770">
        <w:rPr>
          <w:sz w:val="18"/>
          <w:szCs w:val="18"/>
        </w:rPr>
        <w:t xml:space="preserve">Cestovní kancelář se odpovědnosti k náhradě škody, způsobené porušením smluvní povinnosti zprostí, prokáže-li, že jí ve splnění povinnosti dočasně nebo trvale zabránila mimořádná nepředvídatelná a nepřekonatelná překážka vzniklá nezávisle na její vůli. Jak je výslovně ujednáno v SZ, umožňuje-li mezinárodní smlouva, kterou je Česká republika vázána, omezení náhrady škody, hradí cestovní kancelář škody vzniklé porušením povinnosti </w:t>
      </w:r>
      <w:r w:rsidR="00641A9A">
        <w:rPr>
          <w:sz w:val="18"/>
          <w:szCs w:val="18"/>
        </w:rPr>
        <w:t xml:space="preserve">            </w:t>
      </w:r>
      <w:r w:rsidRPr="00653770">
        <w:rPr>
          <w:sz w:val="18"/>
          <w:szCs w:val="18"/>
        </w:rPr>
        <w:t>ze smlouvy o zájezdu jen do výše tohoto omezení.  CK nenese žádnou odpovědnost a neručí za úroveň, cenu, případně vzniklou škodu u služeb a akcí nesjednaných ve smlouvě, pořádaných jinými subjekty, které si zákazní</w:t>
      </w:r>
      <w:r w:rsidR="00653770" w:rsidRPr="00653770">
        <w:rPr>
          <w:sz w:val="18"/>
          <w:szCs w:val="18"/>
        </w:rPr>
        <w:t>k</w:t>
      </w:r>
      <w:r w:rsidRPr="00653770">
        <w:rPr>
          <w:sz w:val="18"/>
          <w:szCs w:val="18"/>
        </w:rPr>
        <w:t xml:space="preserve"> objedná na místě u průvodce, hotelu či jiné organizace. Za předmět reklamace se nepovažují škody a majetkové újmy vzniklé zákazníkovi, které jsou předmětem smluvní úpravy pojistného krytí pojišťovny na základě pojistné smlouvy o cestovním pojištění pro cesty a pobyt, ani takové škody a majetkové újmy, které jsou z rozsahu pojistného krytí výslovně vyňaty. </w:t>
      </w:r>
    </w:p>
    <w:p w14:paraId="66938D9E" w14:textId="77777777" w:rsidR="00A007AA" w:rsidRPr="00653770" w:rsidRDefault="00A007AA" w:rsidP="00A007AA">
      <w:pPr>
        <w:pStyle w:val="Odstavecseseznamem"/>
        <w:widowControl/>
        <w:numPr>
          <w:ilvl w:val="0"/>
          <w:numId w:val="5"/>
        </w:numPr>
        <w:ind w:left="426" w:right="-51" w:hanging="426"/>
        <w:jc w:val="both"/>
        <w:rPr>
          <w:sz w:val="18"/>
          <w:szCs w:val="18"/>
        </w:rPr>
      </w:pPr>
      <w:r w:rsidRPr="00653770">
        <w:rPr>
          <w:sz w:val="18"/>
          <w:szCs w:val="18"/>
        </w:rPr>
        <w:t xml:space="preserve">Dojde-li k okolnostem, jejichž vznik, průběh a následek není závislý na činnosti a postupu CK nebo k okolnostem na straně zákazníka, na základě kterých zákazník zcela nebo z části nevyužije objednané, zaplacené a cestovní kanceláří zabezpečené služby, nevzniká zákazníkovy nárok na úhradu nebo slevu z ceny těchto služeb. CK se může odpovědnosti za škodu způsobenou porušením právní povinnosti zprostit, prokáže-li, že tuto škodu nezavinila ona ani jiní dodavatelé služeb cestovního ruchu v rámci zájezdu (smlouvou sjednaných služeb) a) zákazníkem, b)třetí osobou, která není spojena s poskytováním zájezdu, pokud tuto skutečnost nebylo možné předpokládat nebo byla nevyhnutelná, nebo c) neodvratitelnou událostí, které nemohlo být zabráněno ani při vynaložení veškerého úsilí, které lze požadovat. </w:t>
      </w:r>
    </w:p>
    <w:p w14:paraId="45ACD6DE" w14:textId="77777777" w:rsidR="00A007AA" w:rsidRPr="00653770" w:rsidRDefault="00A007AA" w:rsidP="00A007AA">
      <w:pPr>
        <w:pStyle w:val="Odstavecseseznamem"/>
        <w:widowControl/>
        <w:numPr>
          <w:ilvl w:val="0"/>
          <w:numId w:val="5"/>
        </w:numPr>
        <w:ind w:left="426" w:right="-51" w:hanging="426"/>
        <w:jc w:val="both"/>
        <w:rPr>
          <w:sz w:val="18"/>
          <w:szCs w:val="18"/>
        </w:rPr>
      </w:pPr>
      <w:r w:rsidRPr="00653770">
        <w:rPr>
          <w:sz w:val="18"/>
          <w:szCs w:val="18"/>
        </w:rPr>
        <w:t xml:space="preserve">Výše náhrady škody za závazky ze smlouvy, týkající se letecké dopravy, se řídí ustanoveními mezinárodních dohod o letecké přepravě. Rozsah odpovědnosti CK při přepravě cestujících a zavazadel je limitován Přepravními podmínkami či Přepravním řádem, z nichž vyplývají také limity </w:t>
      </w:r>
      <w:r w:rsidR="00641A9A">
        <w:rPr>
          <w:sz w:val="18"/>
          <w:szCs w:val="18"/>
        </w:rPr>
        <w:t xml:space="preserve">       </w:t>
      </w:r>
      <w:r w:rsidRPr="00653770">
        <w:rPr>
          <w:sz w:val="18"/>
          <w:szCs w:val="18"/>
        </w:rPr>
        <w:t xml:space="preserve">pro náhradu za ztrátu nebo zničení zavazadel. Ztrátu, poškození či pozdní dodání zavazadel v letecké přepravě, stejně tak jakékoli další reklamace vztahující se k letecké dopravě reklamuje zákazník přímo u leteckého dopravce. </w:t>
      </w:r>
    </w:p>
    <w:p w14:paraId="12BBCEC7" w14:textId="77777777" w:rsidR="00A007AA" w:rsidRPr="00641A9A" w:rsidRDefault="00A007AA" w:rsidP="00A007AA">
      <w:pPr>
        <w:pStyle w:val="Style9"/>
        <w:shd w:val="clear" w:color="auto" w:fill="auto"/>
        <w:spacing w:line="240" w:lineRule="auto"/>
        <w:ind w:left="426" w:hanging="426"/>
        <w:rPr>
          <w:rStyle w:val="CharStyle10"/>
          <w:rFonts w:ascii="Times New Roman" w:hAnsi="Times New Roman"/>
          <w:sz w:val="10"/>
          <w:szCs w:val="10"/>
        </w:rPr>
      </w:pPr>
    </w:p>
    <w:p w14:paraId="49F870C0" w14:textId="77777777" w:rsidR="00135EAD" w:rsidRPr="00653770" w:rsidRDefault="00135EAD" w:rsidP="00135EAD">
      <w:pPr>
        <w:pStyle w:val="Style9"/>
        <w:shd w:val="clear" w:color="auto" w:fill="auto"/>
        <w:spacing w:line="276" w:lineRule="auto"/>
        <w:ind w:left="426" w:hanging="426"/>
        <w:jc w:val="center"/>
        <w:rPr>
          <w:rStyle w:val="CharStyle10"/>
          <w:rFonts w:ascii="Times New Roman" w:hAnsi="Times New Roman" w:cs="Times New Roman"/>
          <w:b/>
          <w:sz w:val="16"/>
          <w:szCs w:val="16"/>
        </w:rPr>
      </w:pPr>
      <w:r w:rsidRPr="00653770">
        <w:rPr>
          <w:rStyle w:val="CharStyle10"/>
          <w:rFonts w:ascii="Times New Roman" w:hAnsi="Times New Roman" w:cs="Times New Roman"/>
          <w:b/>
          <w:sz w:val="16"/>
          <w:szCs w:val="16"/>
        </w:rPr>
        <w:t>7. Závěrečná ustanovení</w:t>
      </w:r>
    </w:p>
    <w:p w14:paraId="5B0A4207" w14:textId="77777777" w:rsidR="00135EAD" w:rsidRPr="00653770" w:rsidRDefault="00135EAD" w:rsidP="00135EAD">
      <w:pPr>
        <w:pStyle w:val="Odstavecseseznamem"/>
        <w:widowControl/>
        <w:numPr>
          <w:ilvl w:val="0"/>
          <w:numId w:val="3"/>
        </w:numPr>
        <w:overflowPunct w:val="0"/>
        <w:autoSpaceDE w:val="0"/>
        <w:autoSpaceDN w:val="0"/>
        <w:adjustRightInd w:val="0"/>
        <w:ind w:left="426" w:hanging="426"/>
        <w:jc w:val="both"/>
        <w:textAlignment w:val="baseline"/>
        <w:rPr>
          <w:snapToGrid w:val="0"/>
          <w:sz w:val="16"/>
          <w:szCs w:val="16"/>
        </w:rPr>
      </w:pPr>
      <w:r w:rsidRPr="00653770">
        <w:rPr>
          <w:snapToGrid w:val="0"/>
          <w:sz w:val="16"/>
          <w:szCs w:val="16"/>
        </w:rPr>
        <w:t>Práva a povinnosti vyplývající z uplatnění reklamace se řídí obecně závaznými právními předpisy.</w:t>
      </w:r>
    </w:p>
    <w:p w14:paraId="3393DCF0" w14:textId="7F0F8269" w:rsidR="00135EAD" w:rsidRPr="00653770" w:rsidRDefault="00135EAD" w:rsidP="00135EAD">
      <w:pPr>
        <w:pStyle w:val="Odstavecseseznamem"/>
        <w:widowControl/>
        <w:numPr>
          <w:ilvl w:val="0"/>
          <w:numId w:val="3"/>
        </w:numPr>
        <w:overflowPunct w:val="0"/>
        <w:autoSpaceDE w:val="0"/>
        <w:autoSpaceDN w:val="0"/>
        <w:adjustRightInd w:val="0"/>
        <w:ind w:left="426" w:hanging="426"/>
        <w:jc w:val="both"/>
        <w:textAlignment w:val="baseline"/>
        <w:rPr>
          <w:b/>
          <w:sz w:val="16"/>
          <w:szCs w:val="16"/>
        </w:rPr>
      </w:pPr>
      <w:r w:rsidRPr="00653770">
        <w:rPr>
          <w:b/>
          <w:snapToGrid w:val="0"/>
          <w:sz w:val="16"/>
          <w:szCs w:val="16"/>
        </w:rPr>
        <w:t xml:space="preserve">Reklamační řád vstupuje v platnost a účinnost dnem </w:t>
      </w:r>
      <w:r w:rsidR="00636488">
        <w:rPr>
          <w:b/>
          <w:snapToGrid w:val="0"/>
          <w:sz w:val="16"/>
          <w:szCs w:val="16"/>
        </w:rPr>
        <w:t>1</w:t>
      </w:r>
      <w:r w:rsidR="00A007AA" w:rsidRPr="00653770">
        <w:rPr>
          <w:b/>
          <w:snapToGrid w:val="0"/>
          <w:sz w:val="16"/>
          <w:szCs w:val="16"/>
        </w:rPr>
        <w:t>.2.</w:t>
      </w:r>
      <w:r w:rsidR="001459A5">
        <w:rPr>
          <w:b/>
          <w:snapToGrid w:val="0"/>
          <w:sz w:val="16"/>
          <w:szCs w:val="16"/>
        </w:rPr>
        <w:t>20</w:t>
      </w:r>
      <w:r w:rsidR="00F4124E">
        <w:rPr>
          <w:b/>
          <w:snapToGrid w:val="0"/>
          <w:sz w:val="16"/>
          <w:szCs w:val="16"/>
        </w:rPr>
        <w:t>16</w:t>
      </w:r>
    </w:p>
    <w:p w14:paraId="4A8FA739" w14:textId="77777777" w:rsidR="00653770" w:rsidRDefault="00653770" w:rsidP="00653770">
      <w:pPr>
        <w:jc w:val="center"/>
        <w:rPr>
          <w:b/>
          <w:sz w:val="20"/>
          <w:szCs w:val="20"/>
        </w:rPr>
      </w:pPr>
      <w:r w:rsidRPr="00653770">
        <w:rPr>
          <w:b/>
          <w:sz w:val="20"/>
          <w:szCs w:val="20"/>
        </w:rPr>
        <w:t>APOLLON cestovní kancelář s.r.o., Starobrněnská 3, 602 00  Brno, IČO:</w:t>
      </w:r>
      <w:r w:rsidR="00641A9A">
        <w:rPr>
          <w:b/>
          <w:sz w:val="20"/>
          <w:szCs w:val="20"/>
        </w:rPr>
        <w:t xml:space="preserve"> </w:t>
      </w:r>
      <w:r w:rsidRPr="00653770">
        <w:rPr>
          <w:b/>
          <w:sz w:val="20"/>
          <w:szCs w:val="20"/>
        </w:rPr>
        <w:t>29226996, DIČ: CZ29226996</w:t>
      </w:r>
    </w:p>
    <w:p w14:paraId="040F0CDA" w14:textId="46DD086D" w:rsidR="00653770" w:rsidRPr="00653770" w:rsidRDefault="001459A5" w:rsidP="00653770">
      <w:pPr>
        <w:jc w:val="center"/>
        <w:rPr>
          <w:b/>
          <w:sz w:val="20"/>
          <w:szCs w:val="20"/>
        </w:rPr>
      </w:pPr>
      <w:r>
        <w:rPr>
          <w:b/>
          <w:sz w:val="20"/>
          <w:szCs w:val="20"/>
        </w:rPr>
        <w:t xml:space="preserve">Mobil </w:t>
      </w:r>
      <w:r w:rsidR="00641A9A">
        <w:rPr>
          <w:b/>
          <w:sz w:val="20"/>
          <w:szCs w:val="20"/>
        </w:rPr>
        <w:t>: 777571108, E-mail: alena</w:t>
      </w:r>
      <w:r w:rsidR="00653770">
        <w:rPr>
          <w:b/>
          <w:sz w:val="20"/>
          <w:szCs w:val="20"/>
        </w:rPr>
        <w:t>@ck-apollon.cz, www.ck-apollon.cz</w:t>
      </w:r>
    </w:p>
    <w:sectPr w:rsidR="00653770" w:rsidRPr="00653770" w:rsidSect="00135EAD">
      <w:pgSz w:w="11906" w:h="16838"/>
      <w:pgMar w:top="289" w:right="289" w:bottom="295"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6293" w14:textId="77777777" w:rsidR="004F00AD" w:rsidRDefault="004F00AD" w:rsidP="00135EAD">
      <w:r>
        <w:separator/>
      </w:r>
    </w:p>
  </w:endnote>
  <w:endnote w:type="continuationSeparator" w:id="0">
    <w:p w14:paraId="60E2A8E2" w14:textId="77777777" w:rsidR="004F00AD" w:rsidRDefault="004F00AD" w:rsidP="0013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6EAAA" w14:textId="77777777" w:rsidR="004F00AD" w:rsidRDefault="004F00AD" w:rsidP="00135EAD">
      <w:r>
        <w:separator/>
      </w:r>
    </w:p>
  </w:footnote>
  <w:footnote w:type="continuationSeparator" w:id="0">
    <w:p w14:paraId="7FC425F3" w14:textId="77777777" w:rsidR="004F00AD" w:rsidRDefault="004F00AD" w:rsidP="00135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5CC7"/>
    <w:multiLevelType w:val="hybridMultilevel"/>
    <w:tmpl w:val="1F50A13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179F74A4"/>
    <w:multiLevelType w:val="hybridMultilevel"/>
    <w:tmpl w:val="58F881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263BC7"/>
    <w:multiLevelType w:val="hybridMultilevel"/>
    <w:tmpl w:val="288A8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C368AB"/>
    <w:multiLevelType w:val="hybridMultilevel"/>
    <w:tmpl w:val="5E0A1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AC61FC"/>
    <w:multiLevelType w:val="hybridMultilevel"/>
    <w:tmpl w:val="7616CF7E"/>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16cid:durableId="163787928">
    <w:abstractNumId w:val="1"/>
  </w:num>
  <w:num w:numId="2" w16cid:durableId="479618181">
    <w:abstractNumId w:val="0"/>
  </w:num>
  <w:num w:numId="3" w16cid:durableId="450787607">
    <w:abstractNumId w:val="4"/>
  </w:num>
  <w:num w:numId="4" w16cid:durableId="958604803">
    <w:abstractNumId w:val="3"/>
  </w:num>
  <w:num w:numId="5" w16cid:durableId="91817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EAD"/>
    <w:rsid w:val="00135EAD"/>
    <w:rsid w:val="001459A5"/>
    <w:rsid w:val="001D1AB7"/>
    <w:rsid w:val="002C6537"/>
    <w:rsid w:val="003442E6"/>
    <w:rsid w:val="00351BE3"/>
    <w:rsid w:val="00431DAA"/>
    <w:rsid w:val="004F00AD"/>
    <w:rsid w:val="00635210"/>
    <w:rsid w:val="00636488"/>
    <w:rsid w:val="00641A9A"/>
    <w:rsid w:val="00653770"/>
    <w:rsid w:val="0080585F"/>
    <w:rsid w:val="0088680E"/>
    <w:rsid w:val="0090193F"/>
    <w:rsid w:val="009B5456"/>
    <w:rsid w:val="00A007AA"/>
    <w:rsid w:val="00AB79EA"/>
    <w:rsid w:val="00B222E8"/>
    <w:rsid w:val="00B97D78"/>
    <w:rsid w:val="00E20890"/>
    <w:rsid w:val="00F04E75"/>
    <w:rsid w:val="00F4124E"/>
    <w:rsid w:val="00FC0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39B5"/>
  <w15:docId w15:val="{0861482D-BC6B-4DE2-B099-8D63C14E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EAD"/>
    <w:pPr>
      <w:widowControl w:val="0"/>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8">
    <w:name w:val="Char Style 8"/>
    <w:link w:val="Style7"/>
    <w:uiPriority w:val="99"/>
    <w:rsid w:val="00135EAD"/>
    <w:rPr>
      <w:rFonts w:ascii="Arial" w:hAnsi="Arial" w:cs="Arial"/>
      <w:b/>
      <w:bCs/>
      <w:sz w:val="15"/>
      <w:szCs w:val="15"/>
      <w:shd w:val="clear" w:color="auto" w:fill="FFFFFF"/>
    </w:rPr>
  </w:style>
  <w:style w:type="character" w:customStyle="1" w:styleId="CharStyle10">
    <w:name w:val="Char Style 10"/>
    <w:link w:val="Style9"/>
    <w:uiPriority w:val="99"/>
    <w:rsid w:val="00135EAD"/>
    <w:rPr>
      <w:rFonts w:ascii="Arial" w:hAnsi="Arial" w:cs="Arial"/>
      <w:sz w:val="15"/>
      <w:szCs w:val="15"/>
      <w:shd w:val="clear" w:color="auto" w:fill="FFFFFF"/>
    </w:rPr>
  </w:style>
  <w:style w:type="paragraph" w:customStyle="1" w:styleId="Style7">
    <w:name w:val="Style 7"/>
    <w:basedOn w:val="Normln"/>
    <w:link w:val="CharStyle8"/>
    <w:uiPriority w:val="99"/>
    <w:rsid w:val="00135EAD"/>
    <w:pPr>
      <w:shd w:val="clear" w:color="auto" w:fill="FFFFFF"/>
      <w:spacing w:before="240" w:line="230" w:lineRule="exact"/>
      <w:jc w:val="center"/>
    </w:pPr>
    <w:rPr>
      <w:rFonts w:ascii="Arial" w:eastAsiaTheme="minorHAnsi" w:hAnsi="Arial" w:cs="Arial"/>
      <w:b/>
      <w:bCs/>
      <w:color w:val="auto"/>
      <w:sz w:val="15"/>
      <w:szCs w:val="15"/>
      <w:lang w:eastAsia="en-US"/>
    </w:rPr>
  </w:style>
  <w:style w:type="paragraph" w:customStyle="1" w:styleId="Style9">
    <w:name w:val="Style 9"/>
    <w:basedOn w:val="Normln"/>
    <w:link w:val="CharStyle10"/>
    <w:uiPriority w:val="99"/>
    <w:rsid w:val="00135EAD"/>
    <w:pPr>
      <w:shd w:val="clear" w:color="auto" w:fill="FFFFFF"/>
      <w:spacing w:line="230" w:lineRule="exact"/>
      <w:ind w:hanging="360"/>
      <w:jc w:val="both"/>
    </w:pPr>
    <w:rPr>
      <w:rFonts w:ascii="Arial" w:eastAsiaTheme="minorHAnsi" w:hAnsi="Arial" w:cs="Arial"/>
      <w:color w:val="auto"/>
      <w:sz w:val="15"/>
      <w:szCs w:val="15"/>
      <w:lang w:eastAsia="en-US"/>
    </w:rPr>
  </w:style>
  <w:style w:type="paragraph" w:styleId="Odstavecseseznamem">
    <w:name w:val="List Paragraph"/>
    <w:basedOn w:val="Normln"/>
    <w:uiPriority w:val="34"/>
    <w:qFormat/>
    <w:rsid w:val="00135EAD"/>
    <w:pPr>
      <w:ind w:left="720"/>
      <w:contextualSpacing/>
    </w:pPr>
  </w:style>
  <w:style w:type="paragraph" w:styleId="Zpat">
    <w:name w:val="footer"/>
    <w:basedOn w:val="Normln"/>
    <w:link w:val="ZpatChar"/>
    <w:uiPriority w:val="99"/>
    <w:unhideWhenUsed/>
    <w:rsid w:val="00135EAD"/>
    <w:pPr>
      <w:tabs>
        <w:tab w:val="center" w:pos="4536"/>
        <w:tab w:val="right" w:pos="9072"/>
      </w:tabs>
    </w:pPr>
  </w:style>
  <w:style w:type="character" w:customStyle="1" w:styleId="ZpatChar">
    <w:name w:val="Zápatí Char"/>
    <w:basedOn w:val="Standardnpsmoodstavce"/>
    <w:link w:val="Zpat"/>
    <w:uiPriority w:val="99"/>
    <w:rsid w:val="00135EAD"/>
    <w:rPr>
      <w:rFonts w:ascii="Times New Roman" w:eastAsia="Times New Roman" w:hAnsi="Times New Roman" w:cs="Times New Roman"/>
      <w:color w:val="000000"/>
      <w:sz w:val="24"/>
      <w:szCs w:val="24"/>
      <w:lang w:eastAsia="cs-CZ"/>
    </w:rPr>
  </w:style>
  <w:style w:type="character" w:styleId="Hypertextovodkaz">
    <w:name w:val="Hyperlink"/>
    <w:uiPriority w:val="99"/>
    <w:unhideWhenUsed/>
    <w:rsid w:val="00135EAD"/>
    <w:rPr>
      <w:color w:val="0000FF"/>
      <w:u w:val="single"/>
    </w:rPr>
  </w:style>
  <w:style w:type="paragraph" w:styleId="Zhlav">
    <w:name w:val="header"/>
    <w:basedOn w:val="Normln"/>
    <w:link w:val="ZhlavChar"/>
    <w:uiPriority w:val="99"/>
    <w:unhideWhenUsed/>
    <w:rsid w:val="00135EAD"/>
    <w:pPr>
      <w:tabs>
        <w:tab w:val="center" w:pos="4536"/>
        <w:tab w:val="right" w:pos="9072"/>
      </w:tabs>
    </w:pPr>
  </w:style>
  <w:style w:type="character" w:customStyle="1" w:styleId="ZhlavChar">
    <w:name w:val="Záhlaví Char"/>
    <w:basedOn w:val="Standardnpsmoodstavce"/>
    <w:link w:val="Zhlav"/>
    <w:uiPriority w:val="99"/>
    <w:rsid w:val="00135EAD"/>
    <w:rPr>
      <w:rFonts w:ascii="Times New Roman" w:eastAsia="Times New Roman" w:hAnsi="Times New Roman" w:cs="Times New Roman"/>
      <w:color w:val="000000"/>
      <w:sz w:val="24"/>
      <w:szCs w:val="24"/>
      <w:lang w:eastAsia="cs-CZ"/>
    </w:rPr>
  </w:style>
  <w:style w:type="character" w:styleId="Siln">
    <w:name w:val="Strong"/>
    <w:basedOn w:val="Standardnpsmoodstavce"/>
    <w:uiPriority w:val="22"/>
    <w:qFormat/>
    <w:rsid w:val="00FC0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coi.cz/" TargetMode="External"/><Relationship Id="rId3" Type="http://schemas.openxmlformats.org/officeDocument/2006/relationships/settings" Target="settings.xml"/><Relationship Id="rId7" Type="http://schemas.openxmlformats.org/officeDocument/2006/relationships/hyperlink" Target="mailto:adr@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1</Pages>
  <Words>1353</Words>
  <Characters>7989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Grizli777</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 Apollon</dc:creator>
  <cp:lastModifiedBy>CK2</cp:lastModifiedBy>
  <cp:revision>12</cp:revision>
  <cp:lastPrinted>2016-03-03T14:00:00Z</cp:lastPrinted>
  <dcterms:created xsi:type="dcterms:W3CDTF">2016-02-23T16:16:00Z</dcterms:created>
  <dcterms:modified xsi:type="dcterms:W3CDTF">2024-10-25T11:29:00Z</dcterms:modified>
</cp:coreProperties>
</file>